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5000" w:type="pct"/>
        <w:tblLook w:val="04A0" w:firstRow="1" w:lastRow="0" w:firstColumn="1" w:lastColumn="0" w:noHBand="0" w:noVBand="1"/>
      </w:tblPr>
      <w:tblGrid>
        <w:gridCol w:w="5998"/>
        <w:gridCol w:w="7996"/>
      </w:tblGrid>
      <w:tr w:rsidR="00BA6032" w14:paraId="3750A975" w14:textId="77777777" w:rsidTr="0097428D">
        <w:tc>
          <w:tcPr>
            <w:tcW w:w="2143" w:type="pct"/>
            <w:shd w:val="clear" w:color="auto" w:fill="FF0000"/>
          </w:tcPr>
          <w:p w14:paraId="0D6C0032" w14:textId="77777777" w:rsidR="00BA6032" w:rsidRPr="00A30663" w:rsidRDefault="00BA6032">
            <w:pPr>
              <w:rPr>
                <w:b/>
                <w:highlight w:val="red"/>
              </w:rPr>
            </w:pPr>
            <w:r w:rsidRPr="00A30663">
              <w:rPr>
                <w:b/>
                <w:highlight w:val="red"/>
              </w:rPr>
              <w:t>Zákaz provozu</w:t>
            </w:r>
          </w:p>
        </w:tc>
        <w:tc>
          <w:tcPr>
            <w:tcW w:w="2857" w:type="pct"/>
            <w:shd w:val="clear" w:color="auto" w:fill="FFC000" w:themeFill="accent4"/>
          </w:tcPr>
          <w:p w14:paraId="035036BD" w14:textId="77777777" w:rsidR="00BA6032" w:rsidRPr="00BA6032" w:rsidRDefault="00ED2316">
            <w:pPr>
              <w:rPr>
                <w:b/>
              </w:rPr>
            </w:pPr>
            <w:r>
              <w:rPr>
                <w:b/>
              </w:rPr>
              <w:t>Výjimky a podmínky</w:t>
            </w:r>
          </w:p>
        </w:tc>
      </w:tr>
      <w:tr w:rsidR="00260AFA" w14:paraId="567DF6CD" w14:textId="77777777" w:rsidTr="0097428D">
        <w:tc>
          <w:tcPr>
            <w:tcW w:w="2143" w:type="pct"/>
            <w:vAlign w:val="center"/>
          </w:tcPr>
          <w:p w14:paraId="2C81BB35" w14:textId="77777777" w:rsidR="00260AFA" w:rsidRPr="00A30663" w:rsidRDefault="00260AFA" w:rsidP="00ED2316">
            <w:pPr>
              <w:rPr>
                <w:b/>
              </w:rPr>
            </w:pPr>
            <w:r w:rsidRPr="00A30663">
              <w:rPr>
                <w:b/>
              </w:rPr>
              <w:t>Maloobchodní prodej a poskytování služeb v provozovnách (včetně výdejových okének)</w:t>
            </w:r>
            <w:r w:rsidR="00ED2316" w:rsidRPr="00A30663">
              <w:rPr>
                <w:b/>
              </w:rPr>
              <w:t xml:space="preserve"> – týká se pouze </w:t>
            </w:r>
            <w:r w:rsidRPr="00A30663">
              <w:rPr>
                <w:b/>
              </w:rPr>
              <w:t>živností podle</w:t>
            </w:r>
            <w:r w:rsidR="00ED2316" w:rsidRPr="00A30663">
              <w:rPr>
                <w:b/>
              </w:rPr>
              <w:t xml:space="preserve"> </w:t>
            </w:r>
            <w:r w:rsidRPr="00A30663">
              <w:rPr>
                <w:b/>
              </w:rPr>
              <w:t>živnostenského zákona</w:t>
            </w:r>
          </w:p>
        </w:tc>
        <w:tc>
          <w:tcPr>
            <w:tcW w:w="2857" w:type="pct"/>
          </w:tcPr>
          <w:p w14:paraId="07F7B899" w14:textId="77777777" w:rsidR="00260AFA" w:rsidRDefault="00ED2316" w:rsidP="00260AFA">
            <w:pPr>
              <w:pStyle w:val="Odstavecseseznamem"/>
              <w:numPr>
                <w:ilvl w:val="0"/>
                <w:numId w:val="1"/>
              </w:numPr>
            </w:pPr>
            <w:r>
              <w:t>prodejny potravin</w:t>
            </w:r>
          </w:p>
          <w:p w14:paraId="45717EFA" w14:textId="77777777" w:rsidR="00260AFA" w:rsidRDefault="00ED2316" w:rsidP="00260AFA">
            <w:pPr>
              <w:pStyle w:val="Odstavecseseznamem"/>
              <w:numPr>
                <w:ilvl w:val="0"/>
                <w:numId w:val="1"/>
              </w:numPr>
            </w:pPr>
            <w:r>
              <w:t>prodejny pohonných hmot</w:t>
            </w:r>
          </w:p>
          <w:p w14:paraId="2E211BE8" w14:textId="77777777" w:rsidR="00260AFA" w:rsidRDefault="00ED2316" w:rsidP="00260AFA">
            <w:pPr>
              <w:pStyle w:val="Odstavecseseznamem"/>
              <w:numPr>
                <w:ilvl w:val="0"/>
                <w:numId w:val="1"/>
              </w:numPr>
            </w:pPr>
            <w:r>
              <w:t>prodejny paliv</w:t>
            </w:r>
          </w:p>
          <w:p w14:paraId="47385A03" w14:textId="77777777" w:rsidR="00260AFA" w:rsidRDefault="00ED2316" w:rsidP="00260AFA">
            <w:pPr>
              <w:pStyle w:val="Odstavecseseznamem"/>
              <w:numPr>
                <w:ilvl w:val="0"/>
                <w:numId w:val="1"/>
              </w:numPr>
            </w:pPr>
            <w:r>
              <w:t>prodejny</w:t>
            </w:r>
            <w:r w:rsidR="00260AFA">
              <w:t xml:space="preserve"> hygienického zboží, kosmeti</w:t>
            </w:r>
            <w:r>
              <w:t>ky a jiného drogistického zboží</w:t>
            </w:r>
          </w:p>
          <w:p w14:paraId="57E210E9" w14:textId="77777777" w:rsidR="00260AFA" w:rsidRDefault="00ED2316" w:rsidP="00260AFA">
            <w:pPr>
              <w:pStyle w:val="Odstavecseseznamem"/>
              <w:numPr>
                <w:ilvl w:val="0"/>
                <w:numId w:val="1"/>
              </w:numPr>
            </w:pPr>
            <w:r>
              <w:t>lékár</w:t>
            </w:r>
            <w:r w:rsidR="00260AFA">
              <w:t>n</w:t>
            </w:r>
            <w:r>
              <w:t>y, výdejny</w:t>
            </w:r>
            <w:r w:rsidR="00260AFA">
              <w:t xml:space="preserve"> a pro</w:t>
            </w:r>
            <w:r>
              <w:t>dejny zdravotnických prostředků</w:t>
            </w:r>
          </w:p>
          <w:p w14:paraId="16AFA319" w14:textId="77777777" w:rsidR="00260AFA" w:rsidRDefault="00ED2316" w:rsidP="00260AFA">
            <w:pPr>
              <w:pStyle w:val="Odstavecseseznamem"/>
              <w:numPr>
                <w:ilvl w:val="0"/>
                <w:numId w:val="1"/>
              </w:numPr>
            </w:pPr>
            <w:r>
              <w:t>prodejny malých domácích zvířat</w:t>
            </w:r>
          </w:p>
          <w:p w14:paraId="6B10B17F" w14:textId="77777777" w:rsidR="00260AFA" w:rsidRDefault="00ED2316" w:rsidP="00260AFA">
            <w:pPr>
              <w:pStyle w:val="Odstavecseseznamem"/>
              <w:numPr>
                <w:ilvl w:val="0"/>
                <w:numId w:val="1"/>
              </w:numPr>
            </w:pPr>
            <w:r>
              <w:t>prodejny</w:t>
            </w:r>
            <w:r w:rsidR="00260AFA">
              <w:t xml:space="preserve"> krmi</w:t>
            </w:r>
            <w:r>
              <w:t>va a dalších potřeb pro zvířata</w:t>
            </w:r>
          </w:p>
          <w:p w14:paraId="7A7656E9" w14:textId="77777777" w:rsidR="00260AFA" w:rsidRDefault="00ED2316" w:rsidP="00260AFA">
            <w:pPr>
              <w:pStyle w:val="Odstavecseseznamem"/>
              <w:numPr>
                <w:ilvl w:val="0"/>
                <w:numId w:val="1"/>
              </w:numPr>
            </w:pPr>
            <w:r>
              <w:t>prodejny</w:t>
            </w:r>
            <w:r w:rsidR="00260AFA">
              <w:t xml:space="preserve"> brýlí, kontaktn</w:t>
            </w:r>
            <w:r>
              <w:t>ích čoček a souvisejícího zboží</w:t>
            </w:r>
          </w:p>
          <w:p w14:paraId="28F11990" w14:textId="77777777" w:rsidR="00260AFA" w:rsidRDefault="00ED2316" w:rsidP="00260AFA">
            <w:pPr>
              <w:pStyle w:val="Odstavecseseznamem"/>
              <w:numPr>
                <w:ilvl w:val="0"/>
                <w:numId w:val="1"/>
              </w:numPr>
            </w:pPr>
            <w:r>
              <w:t>prodejny novin a časopisů</w:t>
            </w:r>
          </w:p>
          <w:p w14:paraId="446E78F6" w14:textId="77777777" w:rsidR="00260AFA" w:rsidRDefault="00ED2316" w:rsidP="00260AFA">
            <w:pPr>
              <w:pStyle w:val="Odstavecseseznamem"/>
              <w:numPr>
                <w:ilvl w:val="0"/>
                <w:numId w:val="1"/>
              </w:numPr>
            </w:pPr>
            <w:r>
              <w:t>prodejny tabákových výrobků</w:t>
            </w:r>
          </w:p>
          <w:p w14:paraId="5D23526D" w14:textId="77777777" w:rsidR="00260AFA" w:rsidRDefault="00ED2316" w:rsidP="00260AFA">
            <w:pPr>
              <w:pStyle w:val="Odstavecseseznamem"/>
              <w:numPr>
                <w:ilvl w:val="0"/>
                <w:numId w:val="1"/>
              </w:numPr>
            </w:pPr>
            <w:r>
              <w:t>prádelny a čistírny</w:t>
            </w:r>
          </w:p>
          <w:p w14:paraId="2F1E105E" w14:textId="77777777" w:rsidR="00260AFA" w:rsidRDefault="00ED2316" w:rsidP="00260AFA">
            <w:pPr>
              <w:pStyle w:val="Odstavecseseznamem"/>
              <w:numPr>
                <w:ilvl w:val="0"/>
                <w:numId w:val="1"/>
              </w:numPr>
            </w:pPr>
            <w:r>
              <w:t>provozovny</w:t>
            </w:r>
            <w:r w:rsidR="00260AFA">
              <w:t xml:space="preserve"> servisu a oprav si</w:t>
            </w:r>
            <w:r>
              <w:t>lničních vozidel</w:t>
            </w:r>
          </w:p>
          <w:p w14:paraId="2F66A7C9" w14:textId="77777777" w:rsidR="00260AFA" w:rsidRDefault="00ED2316" w:rsidP="001B592A">
            <w:pPr>
              <w:pStyle w:val="Odstavecseseznamem"/>
              <w:numPr>
                <w:ilvl w:val="0"/>
                <w:numId w:val="1"/>
              </w:numPr>
            </w:pPr>
            <w:r>
              <w:t>provozovny</w:t>
            </w:r>
            <w:r w:rsidR="00260AFA">
              <w:t xml:space="preserve"> poskytovatelů odtahů a odstraňování závad vozidel v</w:t>
            </w:r>
            <w:r>
              <w:t> </w:t>
            </w:r>
            <w:r w:rsidR="00260AFA">
              <w:t>provozu</w:t>
            </w:r>
            <w:r>
              <w:t xml:space="preserve"> na pozemních komunikacích</w:t>
            </w:r>
          </w:p>
          <w:p w14:paraId="103FA85C" w14:textId="77777777" w:rsidR="00260AFA" w:rsidRDefault="00ED2316" w:rsidP="00260AFA">
            <w:pPr>
              <w:pStyle w:val="Odstavecseseznamem"/>
              <w:numPr>
                <w:ilvl w:val="0"/>
                <w:numId w:val="1"/>
              </w:numPr>
            </w:pPr>
            <w:r>
              <w:t>prodej</w:t>
            </w:r>
            <w:r w:rsidR="00260AFA">
              <w:t>n</w:t>
            </w:r>
            <w:r>
              <w:t>y</w:t>
            </w:r>
            <w:r w:rsidR="00260AFA">
              <w:t xml:space="preserve"> náhradních dílů k dopravním pros</w:t>
            </w:r>
            <w:r>
              <w:t>tředkům a výrobním technologiím</w:t>
            </w:r>
          </w:p>
          <w:p w14:paraId="752A78D5" w14:textId="77777777" w:rsidR="00260AFA" w:rsidRDefault="00260AFA" w:rsidP="00E035B9">
            <w:pPr>
              <w:pStyle w:val="Odstavecseseznamem"/>
              <w:numPr>
                <w:ilvl w:val="0"/>
                <w:numId w:val="1"/>
              </w:numPr>
            </w:pPr>
            <w:r>
              <w:t>provozovn</w:t>
            </w:r>
            <w:r w:rsidR="00ED2316">
              <w:t>y</w:t>
            </w:r>
            <w:r w:rsidR="00E035B9">
              <w:t xml:space="preserve"> umožňující</w:t>
            </w:r>
            <w:r w:rsidR="00E035B9" w:rsidRPr="00E035B9">
              <w:t xml:space="preserve"> vyzvednutí zboží a zásilky zakoupených distančním způsobem</w:t>
            </w:r>
          </w:p>
          <w:p w14:paraId="796A720B" w14:textId="77777777" w:rsidR="00260AFA" w:rsidRDefault="00ED2316" w:rsidP="00260AFA">
            <w:pPr>
              <w:pStyle w:val="Odstavecseseznamem"/>
              <w:numPr>
                <w:ilvl w:val="0"/>
                <w:numId w:val="1"/>
              </w:numPr>
            </w:pPr>
            <w:r>
              <w:t>prodejny</w:t>
            </w:r>
            <w:r w:rsidR="00260AFA">
              <w:t xml:space="preserve"> zahrádkářsk</w:t>
            </w:r>
            <w:r>
              <w:t>ých potřeb včetně osiva a sadby</w:t>
            </w:r>
          </w:p>
          <w:p w14:paraId="03A61B24" w14:textId="77777777" w:rsidR="00260AFA" w:rsidRDefault="00ED2316" w:rsidP="00260AFA">
            <w:pPr>
              <w:pStyle w:val="Odstavecseseznamem"/>
              <w:numPr>
                <w:ilvl w:val="0"/>
                <w:numId w:val="1"/>
              </w:numPr>
            </w:pPr>
            <w:r>
              <w:t>pokladny prodeje jízdenek</w:t>
            </w:r>
          </w:p>
          <w:p w14:paraId="166BF365" w14:textId="77777777" w:rsidR="00260AFA" w:rsidRDefault="00ED2316" w:rsidP="00260AFA">
            <w:pPr>
              <w:pStyle w:val="Odstavecseseznamem"/>
              <w:numPr>
                <w:ilvl w:val="0"/>
                <w:numId w:val="1"/>
              </w:numPr>
            </w:pPr>
            <w:r>
              <w:t>květinářství</w:t>
            </w:r>
          </w:p>
          <w:p w14:paraId="46652FD3" w14:textId="77777777" w:rsidR="00260AFA" w:rsidRDefault="00260AFA" w:rsidP="00EB12EE">
            <w:pPr>
              <w:pStyle w:val="Odstavecseseznamem"/>
              <w:numPr>
                <w:ilvl w:val="0"/>
                <w:numId w:val="1"/>
              </w:numPr>
            </w:pPr>
            <w:r>
              <w:t>provozovn</w:t>
            </w:r>
            <w:r w:rsidR="00ED2316">
              <w:t>y</w:t>
            </w:r>
            <w:r>
              <w:t xml:space="preserve"> pro sjednání provádění staveb a jejich odstraňování, projektovou činnost</w:t>
            </w:r>
            <w:r w:rsidR="00ED2316">
              <w:t xml:space="preserve"> </w:t>
            </w:r>
            <w:r>
              <w:t>ve výstavbě, geologické práce, zeměměřičství, testování, měření a analýzu</w:t>
            </w:r>
            <w:r w:rsidR="00ED2316">
              <w:t xml:space="preserve"> ve stavebnictví</w:t>
            </w:r>
          </w:p>
          <w:p w14:paraId="32E88C18" w14:textId="77777777" w:rsidR="00260AFA" w:rsidRDefault="00ED2316" w:rsidP="00260AFA">
            <w:pPr>
              <w:pStyle w:val="Odstavecseseznamem"/>
              <w:numPr>
                <w:ilvl w:val="0"/>
                <w:numId w:val="1"/>
              </w:numPr>
            </w:pPr>
            <w:r>
              <w:t>prodej</w:t>
            </w:r>
            <w:r w:rsidR="00260AFA">
              <w:t>n</w:t>
            </w:r>
            <w:r>
              <w:t>y</w:t>
            </w:r>
            <w:r w:rsidR="00260AFA">
              <w:t xml:space="preserve"> textilního </w:t>
            </w:r>
            <w:r>
              <w:t>materiálu a textilní galanterie</w:t>
            </w:r>
          </w:p>
          <w:p w14:paraId="1E53316A" w14:textId="77777777" w:rsidR="00260AFA" w:rsidRDefault="00260AFA" w:rsidP="00CD5AD1">
            <w:pPr>
              <w:pStyle w:val="Odstavecseseznamem"/>
              <w:numPr>
                <w:ilvl w:val="0"/>
                <w:numId w:val="1"/>
              </w:numPr>
            </w:pPr>
            <w:r>
              <w:t>provozovn</w:t>
            </w:r>
            <w:r w:rsidR="00ED2316">
              <w:t>y</w:t>
            </w:r>
            <w:r>
              <w:t xml:space="preserve"> servisu výpočetní a telekomunikační te</w:t>
            </w:r>
            <w:r w:rsidR="00ED2316">
              <w:t xml:space="preserve">chniky, audio a video přijímačů </w:t>
            </w:r>
            <w:r>
              <w:t>spotřební elektroniky, přístrojů a</w:t>
            </w:r>
            <w:r w:rsidR="00ED2316">
              <w:t xml:space="preserve"> dalších výrobků pro domácnosti</w:t>
            </w:r>
          </w:p>
          <w:p w14:paraId="789B67ED" w14:textId="77777777" w:rsidR="00260AFA" w:rsidRDefault="00ED2316" w:rsidP="00E16F2C">
            <w:pPr>
              <w:pStyle w:val="Odstavecseseznamem"/>
              <w:numPr>
                <w:ilvl w:val="0"/>
                <w:numId w:val="1"/>
              </w:numPr>
            </w:pPr>
            <w:r>
              <w:t>provozov</w:t>
            </w:r>
            <w:r w:rsidR="00260AFA">
              <w:t>n</w:t>
            </w:r>
            <w:r>
              <w:t>y</w:t>
            </w:r>
            <w:r w:rsidR="00260AFA">
              <w:t xml:space="preserve"> realitního zprostředkování a činnosti účet</w:t>
            </w:r>
            <w:r>
              <w:t>ních poradců, vedení účetnictví vedení daňové evidence</w:t>
            </w:r>
          </w:p>
          <w:p w14:paraId="7CEEE6AE" w14:textId="77777777" w:rsidR="00260AFA" w:rsidRDefault="00260AFA" w:rsidP="00260AFA">
            <w:pPr>
              <w:pStyle w:val="Odstavecseseznamem"/>
              <w:numPr>
                <w:ilvl w:val="0"/>
                <w:numId w:val="1"/>
              </w:numPr>
            </w:pPr>
            <w:r>
              <w:t>zámečnictví a provozovn</w:t>
            </w:r>
            <w:r w:rsidR="00ED2316">
              <w:t>y</w:t>
            </w:r>
            <w:r>
              <w:t xml:space="preserve"> servis</w:t>
            </w:r>
            <w:r w:rsidR="00ED2316">
              <w:t>u dalších výrobků pro domácnost</w:t>
            </w:r>
          </w:p>
          <w:p w14:paraId="74149D84" w14:textId="77777777" w:rsidR="00260AFA" w:rsidRDefault="00ED2316" w:rsidP="00260AFA">
            <w:pPr>
              <w:pStyle w:val="Odstavecseseznamem"/>
              <w:numPr>
                <w:ilvl w:val="0"/>
                <w:numId w:val="1"/>
              </w:numPr>
            </w:pPr>
            <w:r>
              <w:t>provozov</w:t>
            </w:r>
            <w:r w:rsidR="00260AFA">
              <w:t>n</w:t>
            </w:r>
            <w:r>
              <w:t>y</w:t>
            </w:r>
            <w:r w:rsidR="00260AFA">
              <w:t xml:space="preserve"> oprav, údržby a instalací </w:t>
            </w:r>
            <w:r>
              <w:t>strojů a zařízení pro domácnost</w:t>
            </w:r>
          </w:p>
          <w:p w14:paraId="55EBB7FB" w14:textId="77777777" w:rsidR="00260AFA" w:rsidRDefault="00ED2316" w:rsidP="00DC2E58">
            <w:pPr>
              <w:pStyle w:val="Odstavecseseznamem"/>
              <w:numPr>
                <w:ilvl w:val="0"/>
                <w:numId w:val="1"/>
              </w:numPr>
            </w:pPr>
            <w:r>
              <w:lastRenderedPageBreak/>
              <w:t>provozov</w:t>
            </w:r>
            <w:r w:rsidR="00260AFA">
              <w:t>n</w:t>
            </w:r>
            <w:r>
              <w:t>y</w:t>
            </w:r>
            <w:r w:rsidR="00260AFA">
              <w:t xml:space="preserve"> pohřební služby, provádění </w:t>
            </w:r>
            <w:proofErr w:type="spellStart"/>
            <w:r w:rsidR="00260AFA">
              <w:t>balzamací</w:t>
            </w:r>
            <w:proofErr w:type="spellEnd"/>
            <w:r w:rsidR="00260AFA">
              <w:t xml:space="preserve"> a konzervací, zpopelňování</w:t>
            </w:r>
            <w:r>
              <w:t xml:space="preserve"> </w:t>
            </w:r>
            <w:r w:rsidR="00260AFA">
              <w:t>lidských pozůstatků nebo lidských ostatků, včetně uk</w:t>
            </w:r>
            <w:r>
              <w:t>ládání lidských ostatků do uren</w:t>
            </w:r>
          </w:p>
          <w:p w14:paraId="4EFDE8BB" w14:textId="77777777" w:rsidR="00260AFA" w:rsidRDefault="00ED2316" w:rsidP="00260AFA">
            <w:pPr>
              <w:pStyle w:val="Odstavecseseznamem"/>
              <w:numPr>
                <w:ilvl w:val="0"/>
                <w:numId w:val="1"/>
              </w:numPr>
            </w:pPr>
            <w:r>
              <w:t>myčky automobilů</w:t>
            </w:r>
          </w:p>
          <w:p w14:paraId="7DD631E2" w14:textId="77777777" w:rsidR="00260AFA" w:rsidRDefault="00ED2316" w:rsidP="00260AFA">
            <w:pPr>
              <w:pStyle w:val="Odstavecseseznamem"/>
              <w:numPr>
                <w:ilvl w:val="0"/>
                <w:numId w:val="1"/>
              </w:numPr>
            </w:pPr>
            <w:r>
              <w:t>prodejny domácích potřeb a železářství</w:t>
            </w:r>
          </w:p>
          <w:p w14:paraId="1D44B725" w14:textId="77777777" w:rsidR="00260AFA" w:rsidRDefault="00260AFA" w:rsidP="00260AFA">
            <w:pPr>
              <w:pStyle w:val="Odstavecseseznamem"/>
              <w:numPr>
                <w:ilvl w:val="0"/>
                <w:numId w:val="1"/>
              </w:numPr>
            </w:pPr>
            <w:r>
              <w:t>provozovn</w:t>
            </w:r>
            <w:r w:rsidR="00ED2316">
              <w:t>y</w:t>
            </w:r>
            <w:r>
              <w:t xml:space="preserve"> sběru a výkupu suro</w:t>
            </w:r>
            <w:r w:rsidR="00ED2316">
              <w:t>vin a kompostáren</w:t>
            </w:r>
          </w:p>
          <w:p w14:paraId="7032CCA6" w14:textId="77777777" w:rsidR="00260AFA" w:rsidRDefault="00260AFA" w:rsidP="00260AFA"/>
          <w:p w14:paraId="67E1DDB6" w14:textId="77777777" w:rsidR="00ED2316" w:rsidRDefault="00260AFA" w:rsidP="00ED2316">
            <w:pPr>
              <w:pStyle w:val="Odstavecseseznamem"/>
              <w:numPr>
                <w:ilvl w:val="0"/>
                <w:numId w:val="7"/>
              </w:numPr>
              <w:rPr>
                <w:b/>
              </w:rPr>
            </w:pPr>
            <w:r w:rsidRPr="00ED2316">
              <w:rPr>
                <w:b/>
              </w:rPr>
              <w:t xml:space="preserve">Provozovna může být otevřená za podmínky, kdy se zde uvedené zboží a služby převážně prodávají nebo nabízejí </w:t>
            </w:r>
          </w:p>
          <w:p w14:paraId="5F036E0D" w14:textId="77777777" w:rsidR="00ED2316" w:rsidRDefault="00ED2316" w:rsidP="00031972">
            <w:pPr>
              <w:pStyle w:val="Odstavecseseznamem"/>
              <w:numPr>
                <w:ilvl w:val="0"/>
                <w:numId w:val="7"/>
              </w:numPr>
              <w:rPr>
                <w:b/>
              </w:rPr>
            </w:pPr>
            <w:r w:rsidRPr="00ED2316">
              <w:rPr>
                <w:b/>
              </w:rPr>
              <w:t>Zákaz se nevztahuje na  činnosti, které nejsou živností podle</w:t>
            </w:r>
            <w:r>
              <w:rPr>
                <w:b/>
              </w:rPr>
              <w:t xml:space="preserve"> </w:t>
            </w:r>
            <w:r w:rsidRPr="00ED2316">
              <w:rPr>
                <w:b/>
              </w:rPr>
              <w:t xml:space="preserve">živnostenského zákona </w:t>
            </w:r>
            <w:r>
              <w:rPr>
                <w:b/>
              </w:rPr>
              <w:t>(viz § 3 živnostenského zákona)</w:t>
            </w:r>
          </w:p>
          <w:p w14:paraId="21A1C7E2" w14:textId="77777777" w:rsidR="00260AFA" w:rsidRPr="00ED2316" w:rsidRDefault="00ED2316" w:rsidP="00ED2316">
            <w:pPr>
              <w:pStyle w:val="Odstavecseseznamem"/>
              <w:numPr>
                <w:ilvl w:val="0"/>
                <w:numId w:val="7"/>
              </w:numPr>
              <w:rPr>
                <w:b/>
              </w:rPr>
            </w:pPr>
            <w:r w:rsidRPr="00ED2316">
              <w:rPr>
                <w:b/>
              </w:rPr>
              <w:t xml:space="preserve">Zákaz se </w:t>
            </w:r>
            <w:r w:rsidR="00260AFA" w:rsidRPr="00ED2316">
              <w:rPr>
                <w:b/>
              </w:rPr>
              <w:t>nevztahuje na prodej potravin</w:t>
            </w:r>
            <w:r w:rsidRPr="00ED2316">
              <w:rPr>
                <w:b/>
              </w:rPr>
              <w:t xml:space="preserve"> </w:t>
            </w:r>
            <w:r w:rsidR="00260AFA" w:rsidRPr="00ED2316">
              <w:rPr>
                <w:b/>
              </w:rPr>
              <w:t>v provozovnách, pro které prodej potravin sice nepředstavuje převážnou část činností</w:t>
            </w:r>
            <w:r w:rsidRPr="00ED2316">
              <w:rPr>
                <w:b/>
              </w:rPr>
              <w:t xml:space="preserve"> </w:t>
            </w:r>
            <w:r w:rsidR="00260AFA" w:rsidRPr="00ED2316">
              <w:rPr>
                <w:b/>
              </w:rPr>
              <w:t>dané provozovny, avšak část provozovny, ve které se prodávají potraviny, je oddělena</w:t>
            </w:r>
            <w:r w:rsidRPr="00ED2316">
              <w:rPr>
                <w:b/>
              </w:rPr>
              <w:t xml:space="preserve"> </w:t>
            </w:r>
            <w:r w:rsidR="00260AFA" w:rsidRPr="00ED2316">
              <w:rPr>
                <w:b/>
              </w:rPr>
              <w:t>od ostatních částí provozovny</w:t>
            </w:r>
            <w:r>
              <w:rPr>
                <w:b/>
              </w:rPr>
              <w:t xml:space="preserve"> (např. páskou)</w:t>
            </w:r>
            <w:r w:rsidRPr="00ED2316">
              <w:rPr>
                <w:b/>
              </w:rPr>
              <w:t>.</w:t>
            </w:r>
          </w:p>
        </w:tc>
      </w:tr>
      <w:tr w:rsidR="00BA6032" w14:paraId="2D3B62AD" w14:textId="77777777" w:rsidTr="0097428D">
        <w:tc>
          <w:tcPr>
            <w:tcW w:w="2143" w:type="pct"/>
          </w:tcPr>
          <w:p w14:paraId="3971FE2D" w14:textId="77777777" w:rsidR="00BA6032" w:rsidRPr="00A30663" w:rsidRDefault="00BA6032" w:rsidP="00ED2316">
            <w:pPr>
              <w:rPr>
                <w:b/>
              </w:rPr>
            </w:pPr>
            <w:r w:rsidRPr="00A30663">
              <w:rPr>
                <w:b/>
              </w:rPr>
              <w:lastRenderedPageBreak/>
              <w:t>Restaurace, hospoda, bar, kavárna</w:t>
            </w:r>
            <w:r w:rsidR="00CB396F" w:rsidRPr="00A30663">
              <w:rPr>
                <w:b/>
              </w:rPr>
              <w:t>, vinárna</w:t>
            </w:r>
            <w:r w:rsidR="00290B9B" w:rsidRPr="00A30663">
              <w:rPr>
                <w:b/>
              </w:rPr>
              <w:t xml:space="preserve"> </w:t>
            </w:r>
            <w:r w:rsidR="00ED2316" w:rsidRPr="00A30663">
              <w:rPr>
                <w:b/>
              </w:rPr>
              <w:t>mimo obchodní centra a v obchodních centrech s prodejní plochou do 5 000 m</w:t>
            </w:r>
            <w:r w:rsidR="00ED2316" w:rsidRPr="00A30663">
              <w:rPr>
                <w:b/>
                <w:vertAlign w:val="superscript"/>
              </w:rPr>
              <w:t>2</w:t>
            </w:r>
          </w:p>
        </w:tc>
        <w:tc>
          <w:tcPr>
            <w:tcW w:w="2857" w:type="pct"/>
          </w:tcPr>
          <w:p w14:paraId="6530C6CF" w14:textId="77777777" w:rsidR="00BA6032" w:rsidRDefault="00BA6032" w:rsidP="004D081D">
            <w:pPr>
              <w:pStyle w:val="Odstavecseseznamem"/>
              <w:numPr>
                <w:ilvl w:val="0"/>
                <w:numId w:val="1"/>
              </w:numPr>
            </w:pPr>
            <w:r>
              <w:t>Mimo provozovnu (např. provozovny rychlého občerstvení s výdejovým okénkem nebo prodej jídla s sebou bez vstupu do provozovny) s tím, že prodej zákazníkům v místě provozovny (např. výdejové okénko) je zakázán v čase mezi 20:00 hod. a 06:00 hod.</w:t>
            </w:r>
          </w:p>
          <w:p w14:paraId="1B47D176" w14:textId="77777777" w:rsidR="004D081D" w:rsidRDefault="004D081D" w:rsidP="001C2405">
            <w:pPr>
              <w:pStyle w:val="Odstavecseseznamem"/>
              <w:numPr>
                <w:ilvl w:val="0"/>
                <w:numId w:val="1"/>
              </w:numPr>
            </w:pPr>
            <w:r>
              <w:t>Rozvoz občerstvení bez časového omezení.</w:t>
            </w:r>
          </w:p>
        </w:tc>
      </w:tr>
      <w:tr w:rsidR="00ED2316" w14:paraId="66C35CA1" w14:textId="77777777" w:rsidTr="0097428D">
        <w:tc>
          <w:tcPr>
            <w:tcW w:w="2143" w:type="pct"/>
          </w:tcPr>
          <w:p w14:paraId="5A455346" w14:textId="77777777" w:rsidR="00ED2316" w:rsidRPr="00A30663" w:rsidRDefault="00ED2316" w:rsidP="008D32C6">
            <w:pPr>
              <w:rPr>
                <w:b/>
              </w:rPr>
            </w:pPr>
            <w:r w:rsidRPr="00A30663">
              <w:rPr>
                <w:b/>
              </w:rPr>
              <w:t xml:space="preserve">Restaurace, hospoda, bar, kavárna, vinárna </w:t>
            </w:r>
            <w:r w:rsidR="008D32C6" w:rsidRPr="00A30663">
              <w:rPr>
                <w:b/>
              </w:rPr>
              <w:t>v</w:t>
            </w:r>
            <w:r w:rsidRPr="00A30663">
              <w:rPr>
                <w:b/>
              </w:rPr>
              <w:t xml:space="preserve"> obchodních centrech s prodejní </w:t>
            </w:r>
            <w:r w:rsidR="008D32C6" w:rsidRPr="00A30663">
              <w:rPr>
                <w:b/>
              </w:rPr>
              <w:t>plochou nad</w:t>
            </w:r>
            <w:r w:rsidRPr="00A30663">
              <w:rPr>
                <w:b/>
              </w:rPr>
              <w:t xml:space="preserve"> 5 000 m</w:t>
            </w:r>
            <w:r w:rsidRPr="00A30663">
              <w:rPr>
                <w:b/>
                <w:vertAlign w:val="superscript"/>
              </w:rPr>
              <w:t>2</w:t>
            </w:r>
          </w:p>
        </w:tc>
        <w:tc>
          <w:tcPr>
            <w:tcW w:w="2857" w:type="pct"/>
          </w:tcPr>
          <w:p w14:paraId="309888C3" w14:textId="77777777" w:rsidR="00ED2316" w:rsidRDefault="008D32C6" w:rsidP="008D32C6">
            <w:r>
              <w:t>- (není umožněno ani výdejní okénko)</w:t>
            </w:r>
          </w:p>
        </w:tc>
      </w:tr>
      <w:tr w:rsidR="00BA6032" w14:paraId="2AB6EFB1" w14:textId="77777777" w:rsidTr="0097428D">
        <w:tc>
          <w:tcPr>
            <w:tcW w:w="2143" w:type="pct"/>
          </w:tcPr>
          <w:p w14:paraId="6FC58ABD" w14:textId="77777777" w:rsidR="00BA6032" w:rsidRPr="00A30663" w:rsidRDefault="00290B9B" w:rsidP="00290B9B">
            <w:pPr>
              <w:rPr>
                <w:b/>
              </w:rPr>
            </w:pPr>
            <w:r w:rsidRPr="00A30663">
              <w:rPr>
                <w:b/>
              </w:rPr>
              <w:t>Restaurace, hospoda, bar, kavárna</w:t>
            </w:r>
            <w:r w:rsidR="00CB396F" w:rsidRPr="00A30663">
              <w:rPr>
                <w:b/>
              </w:rPr>
              <w:t>, vinárna</w:t>
            </w:r>
            <w:r w:rsidRPr="00A30663">
              <w:rPr>
                <w:b/>
              </w:rPr>
              <w:t xml:space="preserve"> apod. v ubytovacím zařízení</w:t>
            </w:r>
          </w:p>
        </w:tc>
        <w:tc>
          <w:tcPr>
            <w:tcW w:w="2857" w:type="pct"/>
          </w:tcPr>
          <w:p w14:paraId="08687757" w14:textId="77777777" w:rsidR="00BA6032" w:rsidRDefault="00290B9B">
            <w:r>
              <w:t>Pouze ubytovaným osobám, a to pouze v čase mezi 06:00 hod. a 20:00 hod</w:t>
            </w:r>
          </w:p>
        </w:tc>
      </w:tr>
      <w:tr w:rsidR="00BA6032" w14:paraId="217C654D" w14:textId="77777777" w:rsidTr="0097428D">
        <w:tc>
          <w:tcPr>
            <w:tcW w:w="2143" w:type="pct"/>
          </w:tcPr>
          <w:p w14:paraId="47161DC9" w14:textId="77777777" w:rsidR="00BA6032" w:rsidRPr="00A30663" w:rsidRDefault="004D081D">
            <w:pPr>
              <w:rPr>
                <w:b/>
              </w:rPr>
            </w:pPr>
            <w:r w:rsidRPr="00A30663">
              <w:rPr>
                <w:b/>
              </w:rPr>
              <w:t>Cukrárny, lahůdky</w:t>
            </w:r>
            <w:r w:rsidR="00DD09CE" w:rsidRPr="00A30663">
              <w:rPr>
                <w:b/>
              </w:rPr>
              <w:t xml:space="preserve">, vinotéka, </w:t>
            </w:r>
            <w:proofErr w:type="spellStart"/>
            <w:r w:rsidR="00DD09CE" w:rsidRPr="00A30663">
              <w:rPr>
                <w:b/>
              </w:rPr>
              <w:t>pivotéka</w:t>
            </w:r>
            <w:proofErr w:type="spellEnd"/>
          </w:p>
        </w:tc>
        <w:tc>
          <w:tcPr>
            <w:tcW w:w="2857" w:type="pct"/>
          </w:tcPr>
          <w:p w14:paraId="3681829C" w14:textId="77777777" w:rsidR="00BA6032" w:rsidRDefault="00290B9B">
            <w:r>
              <w:t>Pouze pokud se nejedná o provozování pohostinské činnosti (tzn.</w:t>
            </w:r>
            <w:r w:rsidR="004D081D">
              <w:t xml:space="preserve"> běžně je zde jen</w:t>
            </w:r>
            <w:r>
              <w:t xml:space="preserve"> pultový prodej s sebou)</w:t>
            </w:r>
            <w:r w:rsidR="004D081D">
              <w:t>; v opačném případě lze přes okénko.</w:t>
            </w:r>
          </w:p>
        </w:tc>
      </w:tr>
      <w:tr w:rsidR="008D32C6" w14:paraId="471740FF" w14:textId="77777777" w:rsidTr="0097428D">
        <w:tc>
          <w:tcPr>
            <w:tcW w:w="2143" w:type="pct"/>
          </w:tcPr>
          <w:p w14:paraId="3C471184" w14:textId="77777777" w:rsidR="008D32C6" w:rsidRPr="00A30663" w:rsidRDefault="008D32C6" w:rsidP="008D32C6">
            <w:pPr>
              <w:rPr>
                <w:b/>
              </w:rPr>
            </w:pPr>
            <w:r w:rsidRPr="00A30663">
              <w:rPr>
                <w:b/>
              </w:rPr>
              <w:t>Poutě, cirkusy apod.</w:t>
            </w:r>
          </w:p>
        </w:tc>
        <w:tc>
          <w:tcPr>
            <w:tcW w:w="2857" w:type="pct"/>
          </w:tcPr>
          <w:p w14:paraId="0D77C6EE" w14:textId="77777777" w:rsidR="008D32C6" w:rsidRDefault="008D32C6" w:rsidP="008D32C6">
            <w:r>
              <w:t>-</w:t>
            </w:r>
          </w:p>
        </w:tc>
      </w:tr>
      <w:tr w:rsidR="00BA6032" w14:paraId="623F79AF" w14:textId="77777777" w:rsidTr="0097428D">
        <w:tc>
          <w:tcPr>
            <w:tcW w:w="2143" w:type="pct"/>
          </w:tcPr>
          <w:p w14:paraId="62255ABD" w14:textId="77777777" w:rsidR="00BA6032" w:rsidRPr="00A30663" w:rsidRDefault="008D32C6" w:rsidP="008D32C6">
            <w:pPr>
              <w:rPr>
                <w:b/>
              </w:rPr>
            </w:pPr>
            <w:r w:rsidRPr="00A30663">
              <w:rPr>
                <w:b/>
              </w:rPr>
              <w:t>Kongresy,</w:t>
            </w:r>
            <w:r w:rsidR="00BA6032" w:rsidRPr="00A30663">
              <w:rPr>
                <w:b/>
              </w:rPr>
              <w:t xml:space="preserve"> vzdělávací akce</w:t>
            </w:r>
            <w:r w:rsidRPr="00A30663">
              <w:rPr>
                <w:b/>
              </w:rPr>
              <w:t xml:space="preserve"> a zkoušky v prezenční formě, (vč. vzdělávacích kurzů, např. jazykové kurzy, příprava na přijímací zkoušky, kreativní kurzy, kurzy z oblasti psychoterapie, HR, ovládání PC, koučink, rekvalifikační kurzy)</w:t>
            </w:r>
          </w:p>
        </w:tc>
        <w:tc>
          <w:tcPr>
            <w:tcW w:w="2857" w:type="pct"/>
          </w:tcPr>
          <w:p w14:paraId="4E16F846" w14:textId="77777777" w:rsidR="008D32C6" w:rsidRDefault="001C2405" w:rsidP="006C3AE7">
            <w:r>
              <w:t>-</w:t>
            </w:r>
          </w:p>
        </w:tc>
      </w:tr>
      <w:tr w:rsidR="008D32C6" w14:paraId="0CA6DC23" w14:textId="77777777" w:rsidTr="0097428D">
        <w:tc>
          <w:tcPr>
            <w:tcW w:w="2143" w:type="pct"/>
          </w:tcPr>
          <w:p w14:paraId="382C09C3" w14:textId="77777777" w:rsidR="008D32C6" w:rsidRPr="00A30663" w:rsidRDefault="008D32C6" w:rsidP="00BA6032">
            <w:pPr>
              <w:rPr>
                <w:b/>
              </w:rPr>
            </w:pPr>
            <w:r w:rsidRPr="00A30663">
              <w:rPr>
                <w:b/>
              </w:rPr>
              <w:t>Veletrhy</w:t>
            </w:r>
          </w:p>
        </w:tc>
        <w:tc>
          <w:tcPr>
            <w:tcW w:w="2857" w:type="pct"/>
          </w:tcPr>
          <w:p w14:paraId="0C7F59DB" w14:textId="77777777" w:rsidR="008D32C6" w:rsidRDefault="008D32C6" w:rsidP="00BA6032">
            <w:r>
              <w:t>-</w:t>
            </w:r>
          </w:p>
        </w:tc>
      </w:tr>
      <w:tr w:rsidR="008D32C6" w14:paraId="6D8A4B87" w14:textId="77777777" w:rsidTr="0097428D">
        <w:tc>
          <w:tcPr>
            <w:tcW w:w="2143" w:type="pct"/>
          </w:tcPr>
          <w:p w14:paraId="7857D951" w14:textId="77777777" w:rsidR="008D32C6" w:rsidRPr="00A30663" w:rsidRDefault="008D32C6" w:rsidP="00BA6032">
            <w:pPr>
              <w:rPr>
                <w:b/>
              </w:rPr>
            </w:pPr>
            <w:r w:rsidRPr="00A30663">
              <w:rPr>
                <w:b/>
              </w:rPr>
              <w:t>Herny a kasina</w:t>
            </w:r>
          </w:p>
        </w:tc>
        <w:tc>
          <w:tcPr>
            <w:tcW w:w="2857" w:type="pct"/>
          </w:tcPr>
          <w:p w14:paraId="5D38F7E1" w14:textId="77777777" w:rsidR="008D32C6" w:rsidRDefault="008D32C6" w:rsidP="00BA6032">
            <w:r>
              <w:t>-</w:t>
            </w:r>
          </w:p>
        </w:tc>
      </w:tr>
      <w:tr w:rsidR="008D32C6" w14:paraId="6583F7BA" w14:textId="77777777" w:rsidTr="0097428D">
        <w:tc>
          <w:tcPr>
            <w:tcW w:w="2143" w:type="pct"/>
          </w:tcPr>
          <w:p w14:paraId="6D805D3F" w14:textId="77777777" w:rsidR="008D32C6" w:rsidRPr="00A30663" w:rsidRDefault="008D32C6" w:rsidP="00BA6032">
            <w:pPr>
              <w:rPr>
                <w:b/>
              </w:rPr>
            </w:pPr>
            <w:r w:rsidRPr="00A30663">
              <w:rPr>
                <w:b/>
              </w:rPr>
              <w:lastRenderedPageBreak/>
              <w:t>Vnitřní sportoviště ve vnitřních prostorech staveb (např. tělocvičny, hřiště, kluziště, kurty, ringy, herny bowlingu nebo kulečníku, tréninková zařízení) a vnitřních prostory venkovních sportovišť, tanečních studií, posiloven a fitness center</w:t>
            </w:r>
          </w:p>
        </w:tc>
        <w:tc>
          <w:tcPr>
            <w:tcW w:w="2857" w:type="pct"/>
          </w:tcPr>
          <w:p w14:paraId="7086269B" w14:textId="77777777" w:rsidR="008D32C6" w:rsidRDefault="008D32C6" w:rsidP="00BA6032">
            <w:r>
              <w:t>Tělocvik v mateřských školách</w:t>
            </w:r>
          </w:p>
        </w:tc>
      </w:tr>
      <w:tr w:rsidR="00A30663" w14:paraId="2BE0FAA2" w14:textId="77777777" w:rsidTr="0097428D">
        <w:tc>
          <w:tcPr>
            <w:tcW w:w="2143" w:type="pct"/>
          </w:tcPr>
          <w:p w14:paraId="12C3784F" w14:textId="77777777" w:rsidR="00A30663" w:rsidRPr="00A30663" w:rsidRDefault="00A30663" w:rsidP="00A30663">
            <w:pPr>
              <w:rPr>
                <w:b/>
              </w:rPr>
            </w:pPr>
            <w:r w:rsidRPr="00A30663">
              <w:rPr>
                <w:b/>
              </w:rPr>
              <w:t>Umělá koupaliště (plavecký bazén, koupelový bazén, bazén pro kojence a batolata, brouzdaliště), wellness zařízení včetně saun, solárií a solných jeskyní</w:t>
            </w:r>
          </w:p>
        </w:tc>
        <w:tc>
          <w:tcPr>
            <w:tcW w:w="2857" w:type="pct"/>
          </w:tcPr>
          <w:p w14:paraId="6FEB2B17" w14:textId="77777777" w:rsidR="00A30663" w:rsidRDefault="00A30663" w:rsidP="00A30663">
            <w:r>
              <w:t>Pokud se jedná o poskytování zdravotních služeb poskytovatelem zdravotních služeb</w:t>
            </w:r>
          </w:p>
        </w:tc>
      </w:tr>
      <w:tr w:rsidR="00A30663" w14:paraId="3135D73D" w14:textId="77777777" w:rsidTr="0097428D">
        <w:tc>
          <w:tcPr>
            <w:tcW w:w="2143" w:type="pct"/>
          </w:tcPr>
          <w:p w14:paraId="70FBD444" w14:textId="77777777" w:rsidR="00A30663" w:rsidRPr="00A30663" w:rsidRDefault="00A30663" w:rsidP="00A30663">
            <w:pPr>
              <w:rPr>
                <w:b/>
              </w:rPr>
            </w:pPr>
            <w:r w:rsidRPr="00A30663">
              <w:rPr>
                <w:b/>
              </w:rPr>
              <w:t>ZOO, botanické zahrady</w:t>
            </w:r>
          </w:p>
        </w:tc>
        <w:tc>
          <w:tcPr>
            <w:tcW w:w="2857" w:type="pct"/>
          </w:tcPr>
          <w:p w14:paraId="080B367C" w14:textId="77777777" w:rsidR="00A30663" w:rsidRDefault="00A30663" w:rsidP="00A30663">
            <w:r>
              <w:t>-</w:t>
            </w:r>
          </w:p>
        </w:tc>
      </w:tr>
      <w:tr w:rsidR="00A30663" w14:paraId="0FF582EE" w14:textId="77777777" w:rsidTr="0097428D">
        <w:tc>
          <w:tcPr>
            <w:tcW w:w="2143" w:type="pct"/>
          </w:tcPr>
          <w:p w14:paraId="798F0EBB" w14:textId="77777777" w:rsidR="00A30663" w:rsidRPr="00A30663" w:rsidRDefault="00A30663" w:rsidP="00A30663">
            <w:pPr>
              <w:rPr>
                <w:b/>
              </w:rPr>
            </w:pPr>
            <w:r w:rsidRPr="00A30663">
              <w:rPr>
                <w:b/>
              </w:rPr>
              <w:t>Muzea, galerie, výstavní prostory, hrady, zámky a obdobné historické nebo kulturní objekty, hvězdárny a planetária</w:t>
            </w:r>
          </w:p>
        </w:tc>
        <w:tc>
          <w:tcPr>
            <w:tcW w:w="2857" w:type="pct"/>
          </w:tcPr>
          <w:p w14:paraId="00351865" w14:textId="77777777" w:rsidR="00A30663" w:rsidRDefault="00A30663" w:rsidP="00A30663"/>
        </w:tc>
      </w:tr>
      <w:tr w:rsidR="00A30663" w14:paraId="0DE10409" w14:textId="77777777" w:rsidTr="0097428D">
        <w:tc>
          <w:tcPr>
            <w:tcW w:w="2143" w:type="pct"/>
          </w:tcPr>
          <w:p w14:paraId="58ACACB1" w14:textId="77777777" w:rsidR="00A30663" w:rsidRPr="00A30663" w:rsidRDefault="00A30663" w:rsidP="00A30663">
            <w:pPr>
              <w:rPr>
                <w:b/>
              </w:rPr>
            </w:pPr>
            <w:r w:rsidRPr="00A30663">
              <w:rPr>
                <w:b/>
              </w:rPr>
              <w:t>Zařízení nebo poskytování služeb osobám ve věku 6 až 18 let zaměřených na činnosti obdobné zájmovým vzděláváním podle § 2 vyhlášky č. 74/2005 Sb., jako jsou zejména zájmová, výchovná, rekreační nebo vzdělávací</w:t>
            </w:r>
          </w:p>
          <w:p w14:paraId="7369EE67" w14:textId="77777777" w:rsidR="00A30663" w:rsidRPr="00A30663" w:rsidRDefault="00A30663" w:rsidP="00A30663">
            <w:pPr>
              <w:rPr>
                <w:b/>
              </w:rPr>
            </w:pPr>
            <w:r w:rsidRPr="00A30663">
              <w:rPr>
                <w:b/>
              </w:rPr>
              <w:t>činnost včetně přípravy na vyučování</w:t>
            </w:r>
          </w:p>
        </w:tc>
        <w:tc>
          <w:tcPr>
            <w:tcW w:w="2857" w:type="pct"/>
          </w:tcPr>
          <w:p w14:paraId="41EBCB3F" w14:textId="77777777" w:rsidR="00A30663" w:rsidRDefault="00A30663" w:rsidP="00A30663">
            <w:r>
              <w:t>-</w:t>
            </w:r>
          </w:p>
        </w:tc>
      </w:tr>
      <w:tr w:rsidR="00A30663" w14:paraId="2CD1ECD3" w14:textId="77777777" w:rsidTr="0097428D">
        <w:tc>
          <w:tcPr>
            <w:tcW w:w="2143" w:type="pct"/>
          </w:tcPr>
          <w:p w14:paraId="0C648013" w14:textId="77777777" w:rsidR="00A30663" w:rsidRPr="00A30663" w:rsidRDefault="00A30663" w:rsidP="00A30663">
            <w:pPr>
              <w:rPr>
                <w:b/>
              </w:rPr>
            </w:pPr>
            <w:r w:rsidRPr="00A30663">
              <w:rPr>
                <w:b/>
              </w:rPr>
              <w:t>Kina, divadla</w:t>
            </w:r>
          </w:p>
        </w:tc>
        <w:tc>
          <w:tcPr>
            <w:tcW w:w="2857" w:type="pct"/>
          </w:tcPr>
          <w:p w14:paraId="0692123A" w14:textId="77777777" w:rsidR="00A30663" w:rsidRDefault="00A30663" w:rsidP="00A30663">
            <w:r>
              <w:t>-</w:t>
            </w:r>
          </w:p>
        </w:tc>
      </w:tr>
      <w:tr w:rsidR="00A30663" w14:paraId="1A2D0FAC" w14:textId="77777777" w:rsidTr="0097428D">
        <w:tc>
          <w:tcPr>
            <w:tcW w:w="2143" w:type="pct"/>
          </w:tcPr>
          <w:p w14:paraId="0C772582" w14:textId="77777777" w:rsidR="00A30663" w:rsidRPr="00A30663" w:rsidRDefault="00A30663" w:rsidP="00A30663">
            <w:pPr>
              <w:rPr>
                <w:b/>
              </w:rPr>
            </w:pPr>
            <w:r w:rsidRPr="00A30663">
              <w:rPr>
                <w:b/>
              </w:rPr>
              <w:t>Valné hromady právnických osob</w:t>
            </w:r>
          </w:p>
        </w:tc>
        <w:tc>
          <w:tcPr>
            <w:tcW w:w="2857" w:type="pct"/>
          </w:tcPr>
          <w:p w14:paraId="51E6B14F" w14:textId="77777777" w:rsidR="00A30663" w:rsidRDefault="00A30663" w:rsidP="00A30663">
            <w:r>
              <w:t>-</w:t>
            </w:r>
          </w:p>
        </w:tc>
      </w:tr>
      <w:tr w:rsidR="00A30663" w14:paraId="3D10C329" w14:textId="77777777" w:rsidTr="0097428D">
        <w:tc>
          <w:tcPr>
            <w:tcW w:w="2143" w:type="pct"/>
          </w:tcPr>
          <w:p w14:paraId="4DBF0982" w14:textId="77777777" w:rsidR="00A30663" w:rsidRPr="00A30663" w:rsidRDefault="00A30663" w:rsidP="00A30663">
            <w:pPr>
              <w:rPr>
                <w:b/>
              </w:rPr>
            </w:pPr>
            <w:r w:rsidRPr="00A30663">
              <w:rPr>
                <w:b/>
              </w:rPr>
              <w:t>Ubytovací služby</w:t>
            </w:r>
          </w:p>
        </w:tc>
        <w:tc>
          <w:tcPr>
            <w:tcW w:w="2857" w:type="pct"/>
          </w:tcPr>
          <w:p w14:paraId="34DC99C4" w14:textId="77777777" w:rsidR="00A30663" w:rsidRDefault="00A30663" w:rsidP="00A30663">
            <w:pPr>
              <w:pStyle w:val="Odstavecseseznamem"/>
              <w:numPr>
                <w:ilvl w:val="0"/>
                <w:numId w:val="11"/>
              </w:numPr>
            </w:pPr>
            <w:r>
              <w:t>Ubytování osob za účelem výkonu povolání, podnikatelské nebo jiné obdobné činnosti</w:t>
            </w:r>
          </w:p>
          <w:p w14:paraId="0E03D05E" w14:textId="77777777" w:rsidR="00A30663" w:rsidRDefault="00A30663" w:rsidP="00A30663">
            <w:pPr>
              <w:pStyle w:val="Odstavecseseznamem"/>
              <w:numPr>
                <w:ilvl w:val="0"/>
                <w:numId w:val="11"/>
              </w:numPr>
            </w:pPr>
            <w:r>
              <w:t>Ubytování osob, kterým byla nařízena pracovní povinnost podle krizového zákona</w:t>
            </w:r>
          </w:p>
          <w:p w14:paraId="435D69A9" w14:textId="77777777" w:rsidR="00A30663" w:rsidRDefault="00A30663" w:rsidP="00A30663">
            <w:pPr>
              <w:pStyle w:val="Odstavecseseznamem"/>
              <w:numPr>
                <w:ilvl w:val="0"/>
                <w:numId w:val="11"/>
              </w:numPr>
            </w:pPr>
            <w:r>
              <w:t>Ubytování cizinců do doby opuštění území ČR a cizincům s pracovním povolením na ČR</w:t>
            </w:r>
          </w:p>
          <w:p w14:paraId="71AB451E" w14:textId="77777777" w:rsidR="00A30663" w:rsidRDefault="00A30663" w:rsidP="00A30663">
            <w:pPr>
              <w:pStyle w:val="Odstavecseseznamem"/>
              <w:numPr>
                <w:ilvl w:val="0"/>
                <w:numId w:val="11"/>
              </w:numPr>
            </w:pPr>
            <w:r>
              <w:t>Ubytování osob, kterým byla nařízena izolace nebo karanténa</w:t>
            </w:r>
          </w:p>
          <w:p w14:paraId="5287901A" w14:textId="77777777" w:rsidR="00A30663" w:rsidRDefault="00A30663" w:rsidP="00A30663">
            <w:pPr>
              <w:pStyle w:val="Odstavecseseznamem"/>
              <w:numPr>
                <w:ilvl w:val="0"/>
                <w:numId w:val="11"/>
              </w:numPr>
            </w:pPr>
            <w:r>
              <w:t>Ubytování osob, jejichž ubytování bylo sjednáno státem, územním samosprávným celkem nebo jimi zřízenými nebo založenými subjekty za účelem uvolnění kapacit poskytovatelů zdravotních služeb nebo poskytovatelů sociálních služeb nebo pro zajištění ubytování osob bez domova</w:t>
            </w:r>
          </w:p>
          <w:p w14:paraId="35B00731" w14:textId="77777777" w:rsidR="00A30663" w:rsidRDefault="00A30663" w:rsidP="00A30663">
            <w:pPr>
              <w:pStyle w:val="Odstavecseseznamem"/>
              <w:numPr>
                <w:ilvl w:val="0"/>
                <w:numId w:val="11"/>
              </w:numPr>
            </w:pPr>
            <w:r>
              <w:t>Ubytování osob za účelem dokončení ubytování zahájeného před účinností tohoto usnesení vlády</w:t>
            </w:r>
          </w:p>
        </w:tc>
      </w:tr>
    </w:tbl>
    <w:p w14:paraId="471BC600" w14:textId="77777777" w:rsidR="009F3B32" w:rsidRDefault="009F3B32" w:rsidP="009F3B32">
      <w:pPr>
        <w:pStyle w:val="Odstavecseseznamem"/>
        <w:ind w:left="1440"/>
        <w:rPr>
          <w:rFonts w:ascii="Calibri" w:eastAsia="Times New Roman" w:hAnsi="Calibri" w:cs="Calibri"/>
          <w:b/>
          <w:color w:val="000000"/>
          <w:lang w:eastAsia="cs-CZ"/>
        </w:rPr>
      </w:pPr>
    </w:p>
    <w:p w14:paraId="0F87BA21" w14:textId="77777777" w:rsidR="00624258" w:rsidRDefault="00624258" w:rsidP="009F3B32">
      <w:pPr>
        <w:pStyle w:val="Odstavecseseznamem"/>
        <w:ind w:left="1440"/>
        <w:rPr>
          <w:rFonts w:ascii="Calibri" w:eastAsia="Times New Roman" w:hAnsi="Calibri" w:cs="Calibri"/>
          <w:b/>
          <w:color w:val="000000"/>
          <w:lang w:eastAsia="cs-CZ"/>
        </w:rPr>
      </w:pPr>
    </w:p>
    <w:p w14:paraId="64FC4C71" w14:textId="77777777" w:rsidR="00624258" w:rsidRDefault="00624258" w:rsidP="009F3B32">
      <w:pPr>
        <w:pStyle w:val="Odstavecseseznamem"/>
        <w:ind w:left="1440"/>
        <w:rPr>
          <w:rFonts w:ascii="Calibri" w:eastAsia="Times New Roman" w:hAnsi="Calibri" w:cs="Calibri"/>
          <w:b/>
          <w:color w:val="000000"/>
          <w:lang w:eastAsia="cs-CZ"/>
        </w:rPr>
      </w:pPr>
    </w:p>
    <w:p w14:paraId="3E0D7DB1" w14:textId="77777777" w:rsidR="00652B4B" w:rsidRDefault="00652B4B" w:rsidP="00A30663">
      <w:pPr>
        <w:pStyle w:val="Odstavecseseznamem"/>
        <w:numPr>
          <w:ilvl w:val="0"/>
          <w:numId w:val="12"/>
        </w:numPr>
        <w:rPr>
          <w:rFonts w:ascii="Calibri" w:eastAsia="Times New Roman" w:hAnsi="Calibri" w:cs="Calibri"/>
          <w:b/>
          <w:color w:val="000000"/>
          <w:lang w:eastAsia="cs-CZ"/>
        </w:rPr>
      </w:pPr>
      <w:r>
        <w:rPr>
          <w:rFonts w:ascii="Calibri" w:eastAsia="Times New Roman" w:hAnsi="Calibri" w:cs="Calibri"/>
          <w:b/>
          <w:color w:val="000000"/>
          <w:lang w:eastAsia="cs-CZ"/>
        </w:rPr>
        <w:lastRenderedPageBreak/>
        <w:t>Velkoobchodní prodej je obecně povolen.</w:t>
      </w:r>
    </w:p>
    <w:p w14:paraId="269BC5B2" w14:textId="77777777" w:rsidR="009F3B32" w:rsidRDefault="009F3B32" w:rsidP="00A30663">
      <w:pPr>
        <w:pStyle w:val="Odstavecseseznamem"/>
        <w:numPr>
          <w:ilvl w:val="0"/>
          <w:numId w:val="12"/>
        </w:numPr>
        <w:rPr>
          <w:rFonts w:ascii="Calibri" w:eastAsia="Times New Roman" w:hAnsi="Calibri" w:cs="Calibri"/>
          <w:b/>
          <w:color w:val="000000"/>
          <w:lang w:eastAsia="cs-CZ"/>
        </w:rPr>
      </w:pPr>
      <w:r>
        <w:rPr>
          <w:rFonts w:ascii="Calibri" w:eastAsia="Times New Roman" w:hAnsi="Calibri" w:cs="Calibri"/>
          <w:b/>
          <w:color w:val="000000"/>
          <w:lang w:eastAsia="cs-CZ"/>
        </w:rPr>
        <w:t>Venkovní trhy a tržiště mohou být nadále v provozu.</w:t>
      </w:r>
    </w:p>
    <w:p w14:paraId="40FC01B3" w14:textId="77777777" w:rsidR="00A30663" w:rsidRDefault="00A30663" w:rsidP="00A30663">
      <w:pPr>
        <w:pStyle w:val="Odstavecseseznamem"/>
        <w:numPr>
          <w:ilvl w:val="0"/>
          <w:numId w:val="12"/>
        </w:numPr>
        <w:rPr>
          <w:rFonts w:ascii="Calibri" w:eastAsia="Times New Roman" w:hAnsi="Calibri" w:cs="Calibri"/>
          <w:b/>
          <w:color w:val="000000"/>
          <w:lang w:eastAsia="cs-CZ"/>
        </w:rPr>
      </w:pPr>
      <w:r w:rsidRPr="004C08DF">
        <w:rPr>
          <w:rFonts w:ascii="Calibri" w:eastAsia="Times New Roman" w:hAnsi="Calibri" w:cs="Calibri"/>
          <w:b/>
          <w:color w:val="000000"/>
          <w:lang w:eastAsia="cs-CZ"/>
        </w:rPr>
        <w:t xml:space="preserve">Zahrádky </w:t>
      </w:r>
      <w:r w:rsidRPr="004C08DF">
        <w:rPr>
          <w:rFonts w:ascii="Calibri" w:eastAsia="Calibri" w:hAnsi="Calibri" w:cs="Times New Roman"/>
          <w:b/>
        </w:rPr>
        <w:t>provozoven</w:t>
      </w:r>
      <w:r w:rsidRPr="004C08DF">
        <w:rPr>
          <w:rFonts w:ascii="Calibri" w:eastAsia="Times New Roman" w:hAnsi="Calibri" w:cs="Calibri"/>
          <w:b/>
          <w:color w:val="000000"/>
          <w:lang w:eastAsia="cs-CZ"/>
        </w:rPr>
        <w:t xml:space="preserve"> stravovacích služeb musí být rovněž zavřeny.</w:t>
      </w:r>
    </w:p>
    <w:p w14:paraId="1EDA072C" w14:textId="77777777" w:rsidR="009F3B32" w:rsidRPr="004C08DF" w:rsidRDefault="009F3B32" w:rsidP="00A30663">
      <w:pPr>
        <w:pStyle w:val="Odstavecseseznamem"/>
        <w:numPr>
          <w:ilvl w:val="0"/>
          <w:numId w:val="12"/>
        </w:numPr>
        <w:rPr>
          <w:rFonts w:ascii="Calibri" w:eastAsia="Times New Roman" w:hAnsi="Calibri" w:cs="Calibri"/>
          <w:b/>
          <w:color w:val="000000"/>
          <w:lang w:eastAsia="cs-CZ"/>
        </w:rPr>
      </w:pPr>
      <w:r>
        <w:rPr>
          <w:rFonts w:ascii="Calibri" w:eastAsia="Times New Roman" w:hAnsi="Calibri" w:cs="Calibri"/>
          <w:b/>
          <w:color w:val="000000"/>
          <w:lang w:eastAsia="cs-CZ"/>
        </w:rPr>
        <w:t>Jsou zakázána výdejní okénka u výše uvedených zakázaných provozoven s výjimkou provozoven stravovacích služeb za stanovených omezení.</w:t>
      </w:r>
    </w:p>
    <w:p w14:paraId="2D51DFFA" w14:textId="77777777" w:rsidR="00A30663" w:rsidRPr="004C08DF" w:rsidRDefault="00A30663" w:rsidP="00A30663">
      <w:pPr>
        <w:pStyle w:val="Odstavecseseznamem"/>
        <w:numPr>
          <w:ilvl w:val="0"/>
          <w:numId w:val="12"/>
        </w:numPr>
        <w:rPr>
          <w:rFonts w:ascii="Calibri" w:eastAsia="Times New Roman" w:hAnsi="Calibri" w:cs="Calibri"/>
          <w:b/>
          <w:color w:val="000000"/>
          <w:lang w:eastAsia="cs-CZ"/>
        </w:rPr>
      </w:pPr>
      <w:r w:rsidRPr="004C08DF">
        <w:rPr>
          <w:rFonts w:ascii="Calibri" w:eastAsia="Times New Roman" w:hAnsi="Calibri" w:cs="Calibri"/>
          <w:b/>
          <w:color w:val="000000"/>
          <w:lang w:eastAsia="cs-CZ"/>
        </w:rPr>
        <w:t>Je zakázáno konzumovat alkohol na veřejnosti</w:t>
      </w:r>
      <w:r w:rsidR="001C2405">
        <w:rPr>
          <w:rFonts w:ascii="Calibri" w:eastAsia="Times New Roman" w:hAnsi="Calibri" w:cs="Calibri"/>
          <w:b/>
          <w:color w:val="000000"/>
          <w:lang w:eastAsia="cs-CZ"/>
        </w:rPr>
        <w:t>.</w:t>
      </w:r>
    </w:p>
    <w:p w14:paraId="390A4E1E" w14:textId="77777777" w:rsidR="00A30663" w:rsidRPr="00652B4B" w:rsidRDefault="00A30663" w:rsidP="00A30663">
      <w:pPr>
        <w:pStyle w:val="Odstavecseseznamem"/>
        <w:numPr>
          <w:ilvl w:val="0"/>
          <w:numId w:val="12"/>
        </w:numPr>
        <w:rPr>
          <w:rFonts w:asciiTheme="majorHAnsi" w:hAnsiTheme="majorHAnsi" w:cstheme="majorHAnsi"/>
          <w:b/>
          <w:color w:val="44546A" w:themeColor="text2"/>
          <w:lang w:eastAsia="cs-CZ"/>
        </w:rPr>
      </w:pPr>
      <w:r w:rsidRPr="00CC39DA">
        <w:rPr>
          <w:rFonts w:ascii="Calibri" w:eastAsia="Times New Roman" w:hAnsi="Calibri" w:cs="Calibri"/>
          <w:b/>
          <w:color w:val="000000"/>
          <w:lang w:eastAsia="cs-CZ"/>
        </w:rPr>
        <w:t>Venkovní sportoviště (střelnice, minigolf, tenis apod.) mohou být v provozu s výjimkou vnitř</w:t>
      </w:r>
      <w:r w:rsidR="00652B4B">
        <w:rPr>
          <w:rFonts w:ascii="Calibri" w:eastAsia="Times New Roman" w:hAnsi="Calibri" w:cs="Calibri"/>
          <w:b/>
          <w:color w:val="000000"/>
          <w:lang w:eastAsia="cs-CZ"/>
        </w:rPr>
        <w:t>ních prostor těchto sportovišť.</w:t>
      </w:r>
    </w:p>
    <w:p w14:paraId="5B6395A3" w14:textId="77777777" w:rsidR="00652B4B" w:rsidRPr="00CC39DA" w:rsidRDefault="00652B4B" w:rsidP="00652B4B">
      <w:pPr>
        <w:pStyle w:val="Odstavecseseznamem"/>
        <w:ind w:left="1440"/>
        <w:rPr>
          <w:rFonts w:asciiTheme="majorHAnsi" w:hAnsiTheme="majorHAnsi" w:cstheme="majorHAnsi"/>
          <w:b/>
          <w:color w:val="44546A" w:themeColor="text2"/>
          <w:lang w:eastAsia="cs-CZ"/>
        </w:rPr>
      </w:pPr>
    </w:p>
    <w:p w14:paraId="167065A9" w14:textId="77777777" w:rsidR="009F3B32" w:rsidRDefault="009F3B32" w:rsidP="009F3B32">
      <w:pPr>
        <w:pStyle w:val="Odstavecseseznamem"/>
        <w:overflowPunct w:val="0"/>
        <w:autoSpaceDE w:val="0"/>
        <w:autoSpaceDN w:val="0"/>
        <w:adjustRightInd w:val="0"/>
        <w:spacing w:after="60" w:line="240" w:lineRule="auto"/>
        <w:ind w:left="567"/>
        <w:contextualSpacing w:val="0"/>
        <w:jc w:val="both"/>
        <w:textAlignment w:val="baseline"/>
        <w:rPr>
          <w:rStyle w:val="OtzkaChar"/>
        </w:rPr>
      </w:pPr>
      <w:r w:rsidRPr="0D355F16">
        <w:rPr>
          <w:rStyle w:val="OtzkaChar"/>
        </w:rPr>
        <w:t>Co se rozumí prodejnou domácích potřeb</w:t>
      </w:r>
      <w:r>
        <w:rPr>
          <w:rStyle w:val="OtzkaChar"/>
        </w:rPr>
        <w:t xml:space="preserve">? </w:t>
      </w:r>
    </w:p>
    <w:p w14:paraId="70F8B6E5" w14:textId="77777777" w:rsidR="009F3B32" w:rsidRPr="0030759B" w:rsidRDefault="009F3B32" w:rsidP="009F3B32">
      <w:pPr>
        <w:pStyle w:val="Odstavecseseznamem"/>
        <w:overflowPunct w:val="0"/>
        <w:autoSpaceDE w:val="0"/>
        <w:autoSpaceDN w:val="0"/>
        <w:adjustRightInd w:val="0"/>
        <w:spacing w:after="60" w:line="240" w:lineRule="auto"/>
        <w:ind w:left="567"/>
        <w:contextualSpacing w:val="0"/>
        <w:jc w:val="both"/>
        <w:textAlignment w:val="baseline"/>
        <w:rPr>
          <w:color w:val="000000"/>
        </w:rPr>
      </w:pPr>
      <w:r>
        <w:t>Za prodejny s domácími potřebami se považují takové maloobchodní prodejny, které jsou zaměřeny na sortiment užívaný v domácnosti. Jedná se například o kuchyňské potřeby a nádobí, drobné spotřebiče, pomůcky pro úklid a další domácí práce (čištění, praní, žehlení), doplňky pro domácnost, drogistické zboží.</w:t>
      </w:r>
    </w:p>
    <w:p w14:paraId="108D595E" w14:textId="77777777" w:rsidR="00A30663" w:rsidRPr="004D081D" w:rsidRDefault="00A30663" w:rsidP="00260AFA"/>
    <w:sectPr w:rsidR="00A30663" w:rsidRPr="004D081D" w:rsidSect="00260AF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04262" w14:textId="77777777" w:rsidR="00E83202" w:rsidRDefault="00E83202" w:rsidP="0064218D">
      <w:pPr>
        <w:spacing w:after="0" w:line="240" w:lineRule="auto"/>
      </w:pPr>
      <w:r>
        <w:separator/>
      </w:r>
    </w:p>
  </w:endnote>
  <w:endnote w:type="continuationSeparator" w:id="0">
    <w:p w14:paraId="017EA475" w14:textId="77777777" w:rsidR="00E83202" w:rsidRDefault="00E83202" w:rsidP="0064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A2D76" w14:textId="77777777" w:rsidR="00E83202" w:rsidRDefault="00E83202" w:rsidP="0064218D">
      <w:pPr>
        <w:spacing w:after="0" w:line="240" w:lineRule="auto"/>
      </w:pPr>
      <w:r>
        <w:separator/>
      </w:r>
    </w:p>
  </w:footnote>
  <w:footnote w:type="continuationSeparator" w:id="0">
    <w:p w14:paraId="58D89ED9" w14:textId="77777777" w:rsidR="00E83202" w:rsidRDefault="00E83202" w:rsidP="00642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A2E3" w14:textId="77777777" w:rsidR="0064218D" w:rsidRPr="0064218D" w:rsidRDefault="0064218D" w:rsidP="0064218D">
    <w:pPr>
      <w:pStyle w:val="Zhlav"/>
      <w:jc w:val="center"/>
      <w:rPr>
        <w:b/>
        <w:sz w:val="28"/>
        <w:szCs w:val="28"/>
      </w:rPr>
    </w:pPr>
    <w:r w:rsidRPr="0064218D">
      <w:rPr>
        <w:b/>
        <w:sz w:val="28"/>
        <w:szCs w:val="28"/>
      </w:rPr>
      <w:t>Omezení obchodu a služeb</w:t>
    </w:r>
  </w:p>
  <w:p w14:paraId="4B84E45C" w14:textId="77777777" w:rsidR="0064218D" w:rsidRDefault="0064218D" w:rsidP="0064218D">
    <w:pPr>
      <w:pStyle w:val="Zhlav"/>
      <w:jc w:val="center"/>
    </w:pPr>
    <w:r>
      <w:t>(stav 22. 10.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973"/>
    <w:multiLevelType w:val="multilevel"/>
    <w:tmpl w:val="2A18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745FB"/>
    <w:multiLevelType w:val="multilevel"/>
    <w:tmpl w:val="EDE2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622F0"/>
    <w:multiLevelType w:val="multilevel"/>
    <w:tmpl w:val="FDE4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B0500"/>
    <w:multiLevelType w:val="hybridMultilevel"/>
    <w:tmpl w:val="1F70541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20B02B9"/>
    <w:multiLevelType w:val="hybridMultilevel"/>
    <w:tmpl w:val="CE7AA4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E3E197C"/>
    <w:multiLevelType w:val="hybridMultilevel"/>
    <w:tmpl w:val="BF4449F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F0C671C"/>
    <w:multiLevelType w:val="multilevel"/>
    <w:tmpl w:val="AE00C9BC"/>
    <w:lvl w:ilvl="0">
      <w:start w:val="1"/>
      <w:numFmt w:val="decimal"/>
      <w:lvlText w:val="%1."/>
      <w:lvlJc w:val="left"/>
      <w:pPr>
        <w:ind w:left="360" w:hanging="360"/>
      </w:pPr>
    </w:lvl>
    <w:lvl w:ilvl="1">
      <w:start w:val="1"/>
      <w:numFmt w:val="decimal"/>
      <w:pStyle w:val="Otzka"/>
      <w:lvlText w:val="%1.%2."/>
      <w:lvlJc w:val="left"/>
      <w:pPr>
        <w:ind w:left="792" w:hanging="432"/>
      </w:pPr>
      <w:rPr>
        <w:b w:val="0"/>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4C1357"/>
    <w:multiLevelType w:val="hybridMultilevel"/>
    <w:tmpl w:val="3D3454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5625CFC"/>
    <w:multiLevelType w:val="hybridMultilevel"/>
    <w:tmpl w:val="0562E63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8200622"/>
    <w:multiLevelType w:val="hybridMultilevel"/>
    <w:tmpl w:val="F070A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F213579"/>
    <w:multiLevelType w:val="hybridMultilevel"/>
    <w:tmpl w:val="C3E4AA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3A75BE"/>
    <w:multiLevelType w:val="hybridMultilevel"/>
    <w:tmpl w:val="752214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2"/>
  </w:num>
  <w:num w:numId="4">
    <w:abstractNumId w:val="0"/>
  </w:num>
  <w:num w:numId="5">
    <w:abstractNumId w:val="1"/>
  </w:num>
  <w:num w:numId="6">
    <w:abstractNumId w:val="6"/>
  </w:num>
  <w:num w:numId="7">
    <w:abstractNumId w:val="5"/>
  </w:num>
  <w:num w:numId="8">
    <w:abstractNumId w:val="3"/>
  </w:num>
  <w:num w:numId="9">
    <w:abstractNumId w:val="9"/>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32"/>
    <w:rsid w:val="00007EDE"/>
    <w:rsid w:val="00107A21"/>
    <w:rsid w:val="001C2405"/>
    <w:rsid w:val="00260AFA"/>
    <w:rsid w:val="00290B9B"/>
    <w:rsid w:val="00334733"/>
    <w:rsid w:val="00362C74"/>
    <w:rsid w:val="00406092"/>
    <w:rsid w:val="0041658F"/>
    <w:rsid w:val="004D081D"/>
    <w:rsid w:val="00583261"/>
    <w:rsid w:val="005C5FBD"/>
    <w:rsid w:val="00624258"/>
    <w:rsid w:val="0063775F"/>
    <w:rsid w:val="0064218D"/>
    <w:rsid w:val="00652B4B"/>
    <w:rsid w:val="0069549A"/>
    <w:rsid w:val="006C3AE7"/>
    <w:rsid w:val="008645FF"/>
    <w:rsid w:val="008D32C6"/>
    <w:rsid w:val="0096540B"/>
    <w:rsid w:val="0097428D"/>
    <w:rsid w:val="009F3B32"/>
    <w:rsid w:val="00A30663"/>
    <w:rsid w:val="00AE3B46"/>
    <w:rsid w:val="00BA6032"/>
    <w:rsid w:val="00BF21C3"/>
    <w:rsid w:val="00C226A9"/>
    <w:rsid w:val="00C849DA"/>
    <w:rsid w:val="00CB396F"/>
    <w:rsid w:val="00DD09CE"/>
    <w:rsid w:val="00E0352E"/>
    <w:rsid w:val="00E035B9"/>
    <w:rsid w:val="00E34502"/>
    <w:rsid w:val="00E83202"/>
    <w:rsid w:val="00ED2316"/>
    <w:rsid w:val="00ED457B"/>
    <w:rsid w:val="00F63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259F"/>
  <w15:chartTrackingRefBased/>
  <w15:docId w15:val="{DFA73738-1C57-4F1D-B65A-10425E27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A6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4D081D"/>
    <w:pPr>
      <w:ind w:left="720"/>
      <w:contextualSpacing/>
    </w:pPr>
  </w:style>
  <w:style w:type="paragraph" w:styleId="Textbubliny">
    <w:name w:val="Balloon Text"/>
    <w:basedOn w:val="Normln"/>
    <w:link w:val="TextbublinyChar"/>
    <w:uiPriority w:val="99"/>
    <w:semiHidden/>
    <w:unhideWhenUsed/>
    <w:rsid w:val="00C226A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26A9"/>
    <w:rPr>
      <w:rFonts w:ascii="Segoe UI" w:hAnsi="Segoe UI" w:cs="Segoe UI"/>
      <w:sz w:val="18"/>
      <w:szCs w:val="18"/>
    </w:rPr>
  </w:style>
  <w:style w:type="paragraph" w:customStyle="1" w:styleId="paragraph">
    <w:name w:val="paragraph"/>
    <w:basedOn w:val="Normln"/>
    <w:rsid w:val="006954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69549A"/>
  </w:style>
  <w:style w:type="character" w:customStyle="1" w:styleId="eop">
    <w:name w:val="eop"/>
    <w:basedOn w:val="Standardnpsmoodstavce"/>
    <w:rsid w:val="0069549A"/>
  </w:style>
  <w:style w:type="character" w:customStyle="1" w:styleId="findhit">
    <w:name w:val="findhit"/>
    <w:basedOn w:val="Standardnpsmoodstavce"/>
    <w:rsid w:val="0069549A"/>
  </w:style>
  <w:style w:type="character" w:customStyle="1" w:styleId="spellingerror">
    <w:name w:val="spellingerror"/>
    <w:basedOn w:val="Standardnpsmoodstavce"/>
    <w:rsid w:val="0069549A"/>
  </w:style>
  <w:style w:type="character" w:customStyle="1" w:styleId="contextualspellingandgrammarerror">
    <w:name w:val="contextualspellingandgrammarerror"/>
    <w:basedOn w:val="Standardnpsmoodstavce"/>
    <w:rsid w:val="0069549A"/>
  </w:style>
  <w:style w:type="paragraph" w:customStyle="1" w:styleId="Otzka">
    <w:name w:val="Otázka"/>
    <w:basedOn w:val="Odstavecseseznamem"/>
    <w:link w:val="OtzkaChar"/>
    <w:qFormat/>
    <w:rsid w:val="00260AFA"/>
    <w:pPr>
      <w:numPr>
        <w:ilvl w:val="1"/>
        <w:numId w:val="6"/>
      </w:numPr>
      <w:overflowPunct w:val="0"/>
      <w:autoSpaceDE w:val="0"/>
      <w:autoSpaceDN w:val="0"/>
      <w:adjustRightInd w:val="0"/>
      <w:spacing w:after="60" w:line="240" w:lineRule="auto"/>
      <w:contextualSpacing w:val="0"/>
      <w:textAlignment w:val="baseline"/>
    </w:pPr>
    <w:rPr>
      <w:rFonts w:eastAsiaTheme="majorEastAsia" w:cs="Times New Roman"/>
      <w:b/>
      <w:szCs w:val="20"/>
      <w:lang w:eastAsia="cs-CZ"/>
    </w:rPr>
  </w:style>
  <w:style w:type="character" w:customStyle="1" w:styleId="OdstavecseseznamemChar">
    <w:name w:val="Odstavec se seznamem Char"/>
    <w:basedOn w:val="Standardnpsmoodstavce"/>
    <w:link w:val="Odstavecseseznamem"/>
    <w:uiPriority w:val="34"/>
    <w:rsid w:val="00260AFA"/>
  </w:style>
  <w:style w:type="character" w:customStyle="1" w:styleId="OtzkaChar">
    <w:name w:val="Otázka Char"/>
    <w:basedOn w:val="OdstavecseseznamemChar"/>
    <w:link w:val="Otzka"/>
    <w:rsid w:val="00260AFA"/>
    <w:rPr>
      <w:rFonts w:eastAsiaTheme="majorEastAsia" w:cs="Times New Roman"/>
      <w:b/>
      <w:szCs w:val="20"/>
      <w:lang w:eastAsia="cs-CZ"/>
    </w:rPr>
  </w:style>
  <w:style w:type="paragraph" w:styleId="Zhlav">
    <w:name w:val="header"/>
    <w:basedOn w:val="Normln"/>
    <w:link w:val="ZhlavChar"/>
    <w:uiPriority w:val="99"/>
    <w:unhideWhenUsed/>
    <w:rsid w:val="006421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218D"/>
  </w:style>
  <w:style w:type="paragraph" w:styleId="Zpat">
    <w:name w:val="footer"/>
    <w:basedOn w:val="Normln"/>
    <w:link w:val="ZpatChar"/>
    <w:uiPriority w:val="99"/>
    <w:unhideWhenUsed/>
    <w:rsid w:val="0064218D"/>
    <w:pPr>
      <w:tabs>
        <w:tab w:val="center" w:pos="4536"/>
        <w:tab w:val="right" w:pos="9072"/>
      </w:tabs>
      <w:spacing w:after="0" w:line="240" w:lineRule="auto"/>
    </w:pPr>
  </w:style>
  <w:style w:type="character" w:customStyle="1" w:styleId="ZpatChar">
    <w:name w:val="Zápatí Char"/>
    <w:basedOn w:val="Standardnpsmoodstavce"/>
    <w:link w:val="Zpat"/>
    <w:uiPriority w:val="99"/>
    <w:rsid w:val="0064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259473">
      <w:bodyDiv w:val="1"/>
      <w:marLeft w:val="0"/>
      <w:marRight w:val="0"/>
      <w:marTop w:val="0"/>
      <w:marBottom w:val="0"/>
      <w:divBdr>
        <w:top w:val="none" w:sz="0" w:space="0" w:color="auto"/>
        <w:left w:val="none" w:sz="0" w:space="0" w:color="auto"/>
        <w:bottom w:val="none" w:sz="0" w:space="0" w:color="auto"/>
        <w:right w:val="none" w:sz="0" w:space="0" w:color="auto"/>
      </w:divBdr>
      <w:divsChild>
        <w:div w:id="986083496">
          <w:marLeft w:val="0"/>
          <w:marRight w:val="0"/>
          <w:marTop w:val="0"/>
          <w:marBottom w:val="0"/>
          <w:divBdr>
            <w:top w:val="none" w:sz="0" w:space="0" w:color="auto"/>
            <w:left w:val="none" w:sz="0" w:space="0" w:color="auto"/>
            <w:bottom w:val="none" w:sz="0" w:space="0" w:color="auto"/>
            <w:right w:val="none" w:sz="0" w:space="0" w:color="auto"/>
          </w:divBdr>
        </w:div>
        <w:div w:id="225184699">
          <w:marLeft w:val="0"/>
          <w:marRight w:val="0"/>
          <w:marTop w:val="0"/>
          <w:marBottom w:val="0"/>
          <w:divBdr>
            <w:top w:val="none" w:sz="0" w:space="0" w:color="auto"/>
            <w:left w:val="none" w:sz="0" w:space="0" w:color="auto"/>
            <w:bottom w:val="none" w:sz="0" w:space="0" w:color="auto"/>
            <w:right w:val="none" w:sz="0" w:space="0" w:color="auto"/>
          </w:divBdr>
        </w:div>
        <w:div w:id="550307">
          <w:marLeft w:val="0"/>
          <w:marRight w:val="0"/>
          <w:marTop w:val="0"/>
          <w:marBottom w:val="0"/>
          <w:divBdr>
            <w:top w:val="none" w:sz="0" w:space="0" w:color="auto"/>
            <w:left w:val="none" w:sz="0" w:space="0" w:color="auto"/>
            <w:bottom w:val="none" w:sz="0" w:space="0" w:color="auto"/>
            <w:right w:val="none" w:sz="0" w:space="0" w:color="auto"/>
          </w:divBdr>
        </w:div>
      </w:divsChild>
    </w:div>
    <w:div w:id="1413890181">
      <w:bodyDiv w:val="1"/>
      <w:marLeft w:val="0"/>
      <w:marRight w:val="0"/>
      <w:marTop w:val="0"/>
      <w:marBottom w:val="0"/>
      <w:divBdr>
        <w:top w:val="none" w:sz="0" w:space="0" w:color="auto"/>
        <w:left w:val="none" w:sz="0" w:space="0" w:color="auto"/>
        <w:bottom w:val="none" w:sz="0" w:space="0" w:color="auto"/>
        <w:right w:val="none" w:sz="0" w:space="0" w:color="auto"/>
      </w:divBdr>
    </w:div>
    <w:div w:id="20827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C7C6-A18D-4C8B-B94A-91169E0E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5051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Benda</dc:creator>
  <cp:keywords/>
  <dc:description/>
  <cp:lastModifiedBy>Andrea Hošťálková</cp:lastModifiedBy>
  <cp:revision>2</cp:revision>
  <dcterms:created xsi:type="dcterms:W3CDTF">2020-10-23T09:04:00Z</dcterms:created>
  <dcterms:modified xsi:type="dcterms:W3CDTF">2020-10-23T09:04:00Z</dcterms:modified>
</cp:coreProperties>
</file>